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EA" w:rsidRDefault="00C223A0" w:rsidP="00F471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59450" cy="7987592"/>
            <wp:effectExtent l="19050" t="0" r="0" b="0"/>
            <wp:docPr id="1" name="Рисунок 1" descr="C:\Users\567\Desktop\9 кл 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7\Desktop\9 кл ру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p w:rsidR="00C223A0" w:rsidRDefault="00C223A0" w:rsidP="00F471EA">
      <w:pPr>
        <w:jc w:val="both"/>
        <w:rPr>
          <w:rFonts w:ascii="Times New Roman" w:hAnsi="Times New Roman"/>
          <w:sz w:val="28"/>
          <w:szCs w:val="28"/>
        </w:rPr>
      </w:pPr>
    </w:p>
    <w:bookmarkStart w:id="0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C764E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C764E3">
            <w:fldChar w:fldCharType="begin"/>
          </w:r>
          <w:r w:rsidR="006B5303">
            <w:instrText xml:space="preserve"> TOC \o "1-3" \h \z \u </w:instrText>
          </w:r>
          <w:r w:rsidRPr="00C764E3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D3A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C764E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D3A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C764E3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D3A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C764E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D3A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C764E3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0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2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3" w:name="_Hlk130491235"/>
      <w:bookmarkEnd w:id="2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3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lastRenderedPageBreak/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781571"/>
      <w:bookmarkStart w:id="5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6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6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30"/>
      <w:bookmarkStart w:id="8" w:name="_Hlk138962750"/>
      <w:bookmarkStart w:id="9" w:name="_Hlk138961499"/>
      <w:bookmarkStart w:id="10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2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ha5t6xo5ig3n"/>
      <w:bookmarkStart w:id="17" w:name="_Hlk138962185"/>
      <w:bookmarkEnd w:id="15"/>
      <w:bookmarkEnd w:id="16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0"/>
    <w:bookmarkEnd w:id="17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lastRenderedPageBreak/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E34D22">
          <w:footerReference w:type="default" r:id="rId10"/>
          <w:type w:val="continuous"/>
          <w:pgSz w:w="11906" w:h="16838"/>
          <w:pgMar w:top="426" w:right="1418" w:bottom="0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35781572"/>
      <w:bookmarkStart w:id="19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0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0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1" w:name="_Hlk126661561"/>
      <w:bookmarkEnd w:id="21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2B" w:rsidRDefault="00095D2B" w:rsidP="001B5FB8">
      <w:pPr>
        <w:spacing w:after="0" w:line="240" w:lineRule="auto"/>
      </w:pPr>
      <w:r>
        <w:separator/>
      </w:r>
    </w:p>
  </w:endnote>
  <w:end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C764E3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C223A0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2B" w:rsidRDefault="00095D2B" w:rsidP="001B5FB8">
      <w:pPr>
        <w:spacing w:after="0" w:line="240" w:lineRule="auto"/>
      </w:pPr>
      <w:r>
        <w:separator/>
      </w:r>
    </w:p>
  </w:footnote>
  <w:footnote w:type="continuationSeparator" w:id="1">
    <w:p w:rsidR="00095D2B" w:rsidRDefault="00095D2B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AE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A1D93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223A0"/>
    <w:rsid w:val="00C37F2F"/>
    <w:rsid w:val="00C44714"/>
    <w:rsid w:val="00C52489"/>
    <w:rsid w:val="00C5584C"/>
    <w:rsid w:val="00C63890"/>
    <w:rsid w:val="00C70297"/>
    <w:rsid w:val="00C750C2"/>
    <w:rsid w:val="00C764E3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4D22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3AE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79</Pages>
  <Words>18756</Words>
  <Characters>106911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567</cp:lastModifiedBy>
  <cp:revision>13</cp:revision>
  <cp:lastPrinted>2024-09-05T07:44:00Z</cp:lastPrinted>
  <dcterms:created xsi:type="dcterms:W3CDTF">2023-05-23T21:46:00Z</dcterms:created>
  <dcterms:modified xsi:type="dcterms:W3CDTF">2024-09-05T08:34:00Z</dcterms:modified>
</cp:coreProperties>
</file>